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почвенный шнек диаметром 300 мм для мотобура.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почвенный шнек диаметром 300 мм для мотобура.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71"/>
        <w:gridCol w:w="4978"/>
        <w:gridCol w:w="2771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Почвенный шнек для мотобура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7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бурение грунта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7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 шнека,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300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7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 посадочного соединения,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7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Рабочая 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595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7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Общая 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более 770</w:t>
            </w:r>
            <w:r/>
          </w:p>
        </w:tc>
      </w:tr>
      <w:tr>
        <w:tblPrEx/>
        <w:trPr>
          <w:cantSplit/>
          <w:trHeight w:val="598"/>
        </w:trPr>
        <w:tc>
          <w:tcPr>
            <w:tcW w:w="27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7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Совместимость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мотобур CHAMPION AG364 или полностью совместимый по посадочному соединению и конструкции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Шнек должен иметь посадочное соединение диаметром 20 мм и диаметр рабочей части 300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Шнек должен обеспечивать штатную установку и работу с мотобуром CHAMPION AG364 без переходных элементов.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почвенный шнек диаметром 300 мм для мотобура: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67"/>
        <w:gridCol w:w="4100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6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Почвенный шнек диаметром 300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0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6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0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почвенный шнек диаметром 300 мм для мотобура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2026-08-19T05:47:14Z</dcterms:modified>
  <cp:category/>
</cp:coreProperties>
</file>